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5F2" w:rsidRPr="00A53D6F" w:rsidRDefault="000C4600" w:rsidP="00A53D6F">
      <w:pPr>
        <w:pStyle w:val="a9"/>
        <w:spacing w:beforeLines="0" w:before="0"/>
        <w:jc w:val="both"/>
        <w:rPr>
          <w:rFonts w:ascii="仿宋" w:eastAsia="方正仿宋简体" w:hAnsi="仿宋" w:cstheme="minorBidi"/>
          <w:bCs w:val="0"/>
          <w:spacing w:val="10"/>
          <w:w w:val="98"/>
          <w:sz w:val="36"/>
          <w:szCs w:val="36"/>
        </w:rPr>
      </w:pPr>
      <w:r w:rsidRPr="00A53D6F">
        <w:rPr>
          <w:rFonts w:ascii="仿宋" w:eastAsia="方正仿宋简体" w:hAnsi="仿宋" w:cstheme="minorBidi" w:hint="eastAsia"/>
          <w:bCs w:val="0"/>
          <w:spacing w:val="10"/>
          <w:w w:val="98"/>
          <w:sz w:val="36"/>
          <w:szCs w:val="36"/>
        </w:rPr>
        <w:t>附件一：</w:t>
      </w:r>
      <w:r w:rsidR="00AC09E8">
        <w:rPr>
          <w:rFonts w:ascii="仿宋" w:eastAsia="方正仿宋简体" w:hAnsi="仿宋" w:cstheme="minorBidi" w:hint="eastAsia"/>
          <w:bCs w:val="0"/>
          <w:spacing w:val="10"/>
          <w:w w:val="98"/>
          <w:sz w:val="36"/>
          <w:szCs w:val="36"/>
        </w:rPr>
        <w:t>西南财经大学</w:t>
      </w:r>
      <w:r w:rsidRPr="00A53D6F">
        <w:rPr>
          <w:rFonts w:ascii="仿宋" w:eastAsia="方正仿宋简体" w:hAnsi="仿宋" w:cstheme="minorBidi" w:hint="eastAsia"/>
          <w:bCs w:val="0"/>
          <w:spacing w:val="10"/>
          <w:w w:val="98"/>
          <w:sz w:val="36"/>
          <w:szCs w:val="36"/>
        </w:rPr>
        <w:t>“向荣国际财经精英学堂”简介与培养计划</w:t>
      </w:r>
      <w:bookmarkStart w:id="0" w:name="_GoBack"/>
      <w:bookmarkEnd w:id="0"/>
    </w:p>
    <w:p w:rsidR="006045F2" w:rsidRDefault="000C4600">
      <w:pPr>
        <w:pStyle w:val="1"/>
        <w:spacing w:before="108" w:after="108"/>
        <w:ind w:firstLine="687"/>
      </w:pPr>
      <w:r>
        <w:rPr>
          <w:rFonts w:hint="eastAsia"/>
        </w:rPr>
        <w:t>一、学堂背景</w:t>
      </w:r>
    </w:p>
    <w:p w:rsidR="006045F2" w:rsidRDefault="000C4600">
      <w:pPr>
        <w:ind w:firstLine="692"/>
      </w:pPr>
      <w:r>
        <w:rPr>
          <w:rFonts w:hint="eastAsia"/>
        </w:rPr>
        <w:t>向荣国际财经精英学堂由香港金融界资深专家“窝轮王”梁向荣</w:t>
      </w:r>
      <w:proofErr w:type="gramStart"/>
      <w:r>
        <w:rPr>
          <w:rFonts w:hint="eastAsia"/>
        </w:rPr>
        <w:t>先生公益</w:t>
      </w:r>
      <w:proofErr w:type="gramEnd"/>
      <w:r>
        <w:rPr>
          <w:rFonts w:hint="eastAsia"/>
        </w:rPr>
        <w:t>捐资设立。</w:t>
      </w:r>
    </w:p>
    <w:p w:rsidR="006045F2" w:rsidRDefault="000C4600">
      <w:pPr>
        <w:ind w:firstLine="692"/>
      </w:pPr>
      <w:r>
        <w:rPr>
          <w:rFonts w:hint="eastAsia"/>
        </w:rPr>
        <w:t>以公益育人、赋能青年为初心，助力财经学子接轨国际先进理念，打通理论与实践壁垒，全方位锤炼综合素养，成长为适配时代需求的国际化财经精英。</w:t>
      </w:r>
    </w:p>
    <w:p w:rsidR="006045F2" w:rsidRDefault="000C4600">
      <w:pPr>
        <w:pStyle w:val="1"/>
        <w:spacing w:before="108" w:after="108"/>
        <w:ind w:firstLine="687"/>
      </w:pPr>
      <w:r>
        <w:t>梁向荣先生简介</w:t>
      </w:r>
    </w:p>
    <w:p w:rsidR="006045F2" w:rsidRDefault="000C4600">
      <w:pPr>
        <w:ind w:firstLine="692"/>
      </w:pPr>
      <w:r>
        <w:rPr>
          <w:rFonts w:hint="eastAsia"/>
        </w:rPr>
        <w:t>——香港向荣投资有限公司董事、五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大学名誉教授、江门市荣誉市民</w:t>
      </w:r>
    </w:p>
    <w:p w:rsidR="006045F2" w:rsidRDefault="000C4600">
      <w:pPr>
        <w:ind w:firstLine="692"/>
      </w:pPr>
      <w:r>
        <w:rPr>
          <w:rFonts w:hint="eastAsia"/>
        </w:rPr>
        <w:t>——香港财经界公认的“窝轮王”“港股牛人”，深耕国际金融市场数十年</w:t>
      </w:r>
    </w:p>
    <w:p w:rsidR="006045F2" w:rsidRDefault="000C4600">
      <w:pPr>
        <w:ind w:firstLine="692"/>
      </w:pPr>
      <w:r>
        <w:rPr>
          <w:rFonts w:hint="eastAsia"/>
        </w:rPr>
        <w:t>——累计为家乡公益事业捐款超</w:t>
      </w:r>
      <w:r>
        <w:t>1.1</w:t>
      </w:r>
      <w:r>
        <w:t>亿元，始终以爱国爱乡之心，推动内地与香港金融人才培养，以实战经验赋能青年成长</w:t>
      </w:r>
    </w:p>
    <w:p w:rsidR="006045F2" w:rsidRDefault="000C4600">
      <w:pPr>
        <w:pStyle w:val="1"/>
        <w:spacing w:before="108" w:after="108"/>
        <w:ind w:firstLine="687"/>
      </w:pPr>
      <w:r>
        <w:rPr>
          <w:rFonts w:hint="eastAsia"/>
        </w:rPr>
        <w:t>二、培养特色</w:t>
      </w:r>
    </w:p>
    <w:p w:rsidR="006045F2" w:rsidRDefault="000C4600">
      <w:pPr>
        <w:ind w:firstLine="692"/>
      </w:pPr>
      <w:r>
        <w:rPr>
          <w:rFonts w:hint="eastAsia"/>
        </w:rPr>
        <w:t>依托梁向荣教育公益捐赠对录取学子实行全程全免费精英培养，创新打造理论精学</w:t>
      </w:r>
      <w:r>
        <w:rPr>
          <w:rFonts w:hint="eastAsia"/>
        </w:rPr>
        <w:t>+</w:t>
      </w:r>
      <w:proofErr w:type="gramStart"/>
      <w:r>
        <w:t>实训强能</w:t>
      </w:r>
      <w:proofErr w:type="gramEnd"/>
      <w:r>
        <w:rPr>
          <w:rFonts w:hint="eastAsia"/>
        </w:rPr>
        <w:t>+</w:t>
      </w:r>
      <w:r>
        <w:t>实盘淬炼三位一体</w:t>
      </w:r>
      <w:r>
        <w:rPr>
          <w:rFonts w:hint="eastAsia"/>
        </w:rPr>
        <w:t>的核心</w:t>
      </w:r>
      <w:r>
        <w:t>培养模式。配备资深教授</w:t>
      </w:r>
      <w:r>
        <w:rPr>
          <w:rFonts w:hint="eastAsia"/>
        </w:rPr>
        <w:t>、</w:t>
      </w:r>
      <w:r>
        <w:t>金融高管双导师精准护航，</w:t>
      </w:r>
      <w:r>
        <w:lastRenderedPageBreak/>
        <w:t>为全国输送高素质复合型财经领军人才。</w:t>
      </w:r>
    </w:p>
    <w:p w:rsidR="006045F2" w:rsidRDefault="000C4600">
      <w:pPr>
        <w:pStyle w:val="1"/>
        <w:spacing w:before="108" w:after="108"/>
        <w:ind w:firstLine="687"/>
      </w:pPr>
      <w:r>
        <w:rPr>
          <w:rFonts w:hint="eastAsia"/>
        </w:rPr>
        <w:t>三、培养优势</w:t>
      </w:r>
    </w:p>
    <w:p w:rsidR="006045F2" w:rsidRDefault="000C4600">
      <w:pPr>
        <w:ind w:firstLine="692"/>
      </w:pPr>
      <w:r>
        <w:rPr>
          <w:rStyle w:val="20"/>
          <w:b/>
        </w:rPr>
        <w:t>1.</w:t>
      </w:r>
      <w:r>
        <w:rPr>
          <w:rStyle w:val="20"/>
          <w:b/>
        </w:rPr>
        <w:t>实战铸能：</w:t>
      </w:r>
      <w:r>
        <w:t>模拟交易、实盘操作、行业集训、财经讲座，理论实战无缝衔接。</w:t>
      </w:r>
    </w:p>
    <w:p w:rsidR="006045F2" w:rsidRDefault="000C4600">
      <w:pPr>
        <w:ind w:firstLine="692"/>
      </w:pPr>
      <w:r>
        <w:rPr>
          <w:rStyle w:val="20"/>
          <w:b/>
        </w:rPr>
        <w:t>2.</w:t>
      </w:r>
      <w:r>
        <w:rPr>
          <w:rStyle w:val="20"/>
          <w:b/>
        </w:rPr>
        <w:t>精英同频：</w:t>
      </w:r>
      <w:r>
        <w:t>汇聚全校财经尖子，共建高端成长圈层，拓宽职业路径。</w:t>
      </w:r>
    </w:p>
    <w:p w:rsidR="006045F2" w:rsidRDefault="000C4600">
      <w:pPr>
        <w:ind w:firstLine="692"/>
      </w:pPr>
      <w:r>
        <w:rPr>
          <w:rStyle w:val="20"/>
          <w:b/>
        </w:rPr>
        <w:t>3.</w:t>
      </w:r>
      <w:r>
        <w:rPr>
          <w:rStyle w:val="20"/>
          <w:b/>
        </w:rPr>
        <w:t>名校赋能：</w:t>
      </w:r>
      <w:r>
        <w:t>共享合作高校精品课、实训平台与行业资源，跨校协同成长。</w:t>
      </w:r>
    </w:p>
    <w:p w:rsidR="006045F2" w:rsidRDefault="000C4600">
      <w:pPr>
        <w:ind w:firstLine="692"/>
      </w:pPr>
      <w:r>
        <w:rPr>
          <w:rStyle w:val="20"/>
          <w:b/>
        </w:rPr>
        <w:t>4.</w:t>
      </w:r>
      <w:r>
        <w:rPr>
          <w:rStyle w:val="20"/>
          <w:b/>
        </w:rPr>
        <w:t>全免厚益：</w:t>
      </w:r>
      <w:r>
        <w:t>学费</w:t>
      </w:r>
      <w:r>
        <w:t>/</w:t>
      </w:r>
      <w:r>
        <w:t>实训</w:t>
      </w:r>
      <w:r>
        <w:t>/</w:t>
      </w:r>
      <w:r>
        <w:t>教材</w:t>
      </w:r>
      <w:r>
        <w:t>/</w:t>
      </w:r>
      <w:proofErr w:type="gramStart"/>
      <w:r>
        <w:t>赛事费</w:t>
      </w:r>
      <w:proofErr w:type="gramEnd"/>
      <w:r>
        <w:t>全免，考核通过</w:t>
      </w:r>
      <w:proofErr w:type="gramStart"/>
      <w:r>
        <w:t>享人</w:t>
      </w:r>
      <w:proofErr w:type="gramEnd"/>
      <w:r>
        <w:t>均人民币</w:t>
      </w:r>
      <w:r>
        <w:t>10</w:t>
      </w:r>
      <w:r>
        <w:t>万元启动金</w:t>
      </w:r>
      <w:r>
        <w:rPr>
          <w:rFonts w:hint="eastAsia"/>
        </w:rPr>
        <w:t>。</w:t>
      </w:r>
    </w:p>
    <w:p w:rsidR="006045F2" w:rsidRDefault="000C4600">
      <w:pPr>
        <w:ind w:firstLine="692"/>
      </w:pPr>
      <w:r>
        <w:rPr>
          <w:rStyle w:val="20"/>
          <w:b/>
        </w:rPr>
        <w:t>5.</w:t>
      </w:r>
      <w:r>
        <w:rPr>
          <w:rStyle w:val="20"/>
          <w:b/>
        </w:rPr>
        <w:t>双师引路：</w:t>
      </w:r>
      <w:r>
        <w:t>校内教授夯实理论，金融高管带教实战，一对一定制成长规划。</w:t>
      </w:r>
    </w:p>
    <w:p w:rsidR="006045F2" w:rsidRDefault="000C4600">
      <w:pPr>
        <w:pStyle w:val="1"/>
        <w:spacing w:before="108" w:after="108"/>
        <w:ind w:firstLine="687"/>
      </w:pPr>
      <w:r>
        <w:rPr>
          <w:rFonts w:hint="eastAsia"/>
        </w:rPr>
        <w:t>四、培养计划</w:t>
      </w:r>
    </w:p>
    <w:p w:rsidR="006045F2" w:rsidRDefault="000C4600">
      <w:pPr>
        <w:ind w:firstLine="692"/>
      </w:pPr>
      <w:r>
        <w:rPr>
          <w:rFonts w:hint="eastAsia"/>
        </w:rPr>
        <w:t>8</w:t>
      </w:r>
      <w:r>
        <w:rPr>
          <w:rFonts w:hint="eastAsia"/>
        </w:rPr>
        <w:t>月初学堂正式开班，除了开班仪式，课程以网络授课为主，初步安排如下：</w:t>
      </w:r>
    </w:p>
    <w:p w:rsidR="006045F2" w:rsidRDefault="000C4600">
      <w:pPr>
        <w:pStyle w:val="2"/>
        <w:ind w:firstLine="692"/>
      </w:pPr>
      <w:r>
        <w:t>1.</w:t>
      </w:r>
      <w:r>
        <w:t>体能意志训练</w:t>
      </w:r>
    </w:p>
    <w:p w:rsidR="006045F2" w:rsidRDefault="000C4600">
      <w:pPr>
        <w:ind w:firstLine="692"/>
      </w:pPr>
      <w:r>
        <w:rPr>
          <w:rFonts w:hint="eastAsia"/>
        </w:rPr>
        <w:t>成功通过选拔者预计</w:t>
      </w:r>
      <w:r>
        <w:rPr>
          <w:rFonts w:hint="eastAsia"/>
        </w:rPr>
        <w:t>7</w:t>
      </w:r>
      <w:r>
        <w:rPr>
          <w:rFonts w:hint="eastAsia"/>
        </w:rPr>
        <w:t>月底于暨南大学进行封闭式集中体能训练，为期</w:t>
      </w:r>
      <w:r>
        <w:rPr>
          <w:rFonts w:hint="eastAsia"/>
        </w:rPr>
        <w:t>10</w:t>
      </w:r>
      <w:r>
        <w:rPr>
          <w:rFonts w:hint="eastAsia"/>
        </w:rPr>
        <w:t>天左右。以军魂铸商魂，以意志强决策。通过基础军事训练、野外生存拓展、军事技能体验、特色融合环节，全面锻造：过硬体能与抗压心智、高度自律与规则意识、高效团队协作与执行力、高压场景下的冷静判断与商</w:t>
      </w:r>
      <w:r>
        <w:rPr>
          <w:rFonts w:hint="eastAsia"/>
        </w:rPr>
        <w:lastRenderedPageBreak/>
        <w:t>业决策能力。让每一位学员拥有金融精英必备的强大内心与战斗素养。</w:t>
      </w:r>
    </w:p>
    <w:p w:rsidR="006045F2" w:rsidRDefault="000C4600">
      <w:pPr>
        <w:pStyle w:val="2"/>
        <w:ind w:firstLine="692"/>
      </w:pPr>
      <w:r>
        <w:t>2.</w:t>
      </w:r>
      <w:r>
        <w:t>财经专业强化</w:t>
      </w:r>
    </w:p>
    <w:p w:rsidR="006045F2" w:rsidRDefault="000C4600">
      <w:pPr>
        <w:ind w:firstLine="692"/>
      </w:pPr>
      <w:r>
        <w:rPr>
          <w:rFonts w:hint="eastAsia"/>
        </w:rPr>
        <w:t>通过线上线下融合、理论实践递进的系统化培养，实现知识高效吸收与能力扎实落地。</w:t>
      </w:r>
    </w:p>
    <w:p w:rsidR="006045F2" w:rsidRDefault="000C4600">
      <w:pPr>
        <w:ind w:firstLine="692"/>
      </w:pPr>
      <w:r>
        <w:rPr>
          <w:rFonts w:hint="eastAsia"/>
        </w:rPr>
        <w:t>线上课程：</w:t>
      </w:r>
      <w:r>
        <w:t>实行集中统一管理，分阶段推进：</w:t>
      </w:r>
      <w:r>
        <w:t>8</w:t>
      </w:r>
      <w:r>
        <w:rPr>
          <w:rFonts w:hint="eastAsia"/>
        </w:rPr>
        <w:t>-</w:t>
      </w:r>
      <w:r>
        <w:t>10</w:t>
      </w:r>
      <w:r>
        <w:t>月理论学习，</w:t>
      </w:r>
      <w:r>
        <w:rPr>
          <w:rFonts w:hint="eastAsia"/>
        </w:rPr>
        <w:t>按要求在校内</w:t>
      </w:r>
      <w:r>
        <w:t>集中完成线上授课；</w:t>
      </w:r>
      <w:r>
        <w:t>11</w:t>
      </w:r>
      <w:r>
        <w:t>月起进入实践阶段，</w:t>
      </w:r>
      <w:r>
        <w:rPr>
          <w:rFonts w:hint="eastAsia"/>
        </w:rPr>
        <w:t>按要求</w:t>
      </w:r>
      <w:r>
        <w:t>集中完成线上实操训练。</w:t>
      </w:r>
    </w:p>
    <w:p w:rsidR="006045F2" w:rsidRDefault="000C4600">
      <w:pPr>
        <w:ind w:firstLine="692"/>
      </w:pPr>
      <w:r>
        <w:rPr>
          <w:rFonts w:hint="eastAsia"/>
        </w:rPr>
        <w:t>线下课程：</w:t>
      </w:r>
      <w:r>
        <w:t>8</w:t>
      </w:r>
      <w:r>
        <w:rPr>
          <w:rFonts w:hint="eastAsia"/>
        </w:rPr>
        <w:t>-</w:t>
      </w:r>
      <w:r>
        <w:t>10</w:t>
      </w:r>
      <w:r>
        <w:t>月理论学习期间，间隔</w:t>
      </w:r>
      <w:r>
        <w:t>1-2</w:t>
      </w:r>
      <w:r>
        <w:t>个月会安排</w:t>
      </w:r>
      <w:r>
        <w:t>2-3</w:t>
      </w:r>
      <w:r>
        <w:t>天的面授课程，由梁向荣先生或特邀专家在暨南大学进行面授（相关</w:t>
      </w:r>
      <w:r>
        <w:rPr>
          <w:rFonts w:hint="eastAsia"/>
        </w:rPr>
        <w:t>费用</w:t>
      </w:r>
      <w:r>
        <w:t>由学校承担）。</w:t>
      </w:r>
    </w:p>
    <w:p w:rsidR="006045F2" w:rsidRDefault="000C4600">
      <w:pPr>
        <w:pStyle w:val="2"/>
        <w:ind w:firstLine="692"/>
      </w:pPr>
      <w:r>
        <w:t>3.</w:t>
      </w:r>
      <w:r>
        <w:t>实操训练体系</w:t>
      </w:r>
    </w:p>
    <w:p w:rsidR="006045F2" w:rsidRDefault="000C4600">
      <w:pPr>
        <w:ind w:firstLine="692"/>
      </w:pPr>
      <w:r>
        <w:rPr>
          <w:rFonts w:hint="eastAsia"/>
        </w:rPr>
        <w:t>模拟交易→小组操盘→实盘训练→导师复盘，涵盖财经模拟大赛、</w:t>
      </w:r>
      <w:r>
        <w:t>ERP</w:t>
      </w:r>
      <w:r>
        <w:t>沙盘对抗、</w:t>
      </w:r>
      <w:r>
        <w:t>AI</w:t>
      </w:r>
      <w:r>
        <w:t>商业决策</w:t>
      </w:r>
      <w:r>
        <w:t>PK</w:t>
      </w:r>
      <w:r>
        <w:t>、行业实战项目</w:t>
      </w:r>
      <w:r>
        <w:rPr>
          <w:rFonts w:hint="eastAsia"/>
        </w:rPr>
        <w:t>。</w:t>
      </w:r>
    </w:p>
    <w:sectPr w:rsidR="00604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474" w:bottom="1304" w:left="1474" w:header="1134" w:footer="1247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BEB" w:rsidRDefault="00052BEB">
      <w:pPr>
        <w:spacing w:line="240" w:lineRule="auto"/>
        <w:ind w:firstLine="652"/>
      </w:pPr>
      <w:r>
        <w:separator/>
      </w:r>
    </w:p>
  </w:endnote>
  <w:endnote w:type="continuationSeparator" w:id="0">
    <w:p w:rsidR="00052BEB" w:rsidRDefault="00052BEB">
      <w:pPr>
        <w:spacing w:line="240" w:lineRule="auto"/>
        <w:ind w:firstLine="65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5F2" w:rsidRDefault="000C4600">
    <w:pPr>
      <w:snapToGrid w:val="0"/>
      <w:spacing w:line="240" w:lineRule="auto"/>
      <w:ind w:firstLineChars="0" w:firstLine="0"/>
      <w:jc w:val="left"/>
      <w:rPr>
        <w:rFonts w:eastAsia="仿宋" w:cs="Times New Roman"/>
        <w:b w:val="0"/>
        <w:spacing w:val="0"/>
        <w:w w:val="100"/>
        <w:sz w:val="28"/>
        <w:szCs w:val="28"/>
      </w:rPr>
    </w:pPr>
    <w:r>
      <w:rPr>
        <w:rFonts w:eastAsia="仿宋" w:cs="Times New Roman" w:hint="eastAsia"/>
        <w:b w:val="0"/>
        <w:spacing w:val="0"/>
        <w:w w:val="100"/>
        <w:sz w:val="28"/>
        <w:szCs w:val="28"/>
      </w:rPr>
      <w:t xml:space="preserve">— </w:t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fldChar w:fldCharType="begin"/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instrText>PAGE   \* MERGEFORMAT</w:instrText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fldChar w:fldCharType="separate"/>
    </w:r>
    <w:r>
      <w:rPr>
        <w:rFonts w:eastAsia="仿宋" w:cs="Times New Roman"/>
        <w:b w:val="0"/>
        <w:spacing w:val="0"/>
        <w:w w:val="100"/>
        <w:sz w:val="28"/>
        <w:szCs w:val="28"/>
      </w:rPr>
      <w:t>8</w:t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fldChar w:fldCharType="end"/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5F2" w:rsidRDefault="000C4600">
    <w:pPr>
      <w:snapToGrid w:val="0"/>
      <w:spacing w:line="240" w:lineRule="auto"/>
      <w:ind w:firstLineChars="0" w:firstLine="0"/>
      <w:jc w:val="right"/>
      <w:rPr>
        <w:rFonts w:eastAsia="仿宋" w:cs="Times New Roman"/>
        <w:b w:val="0"/>
        <w:spacing w:val="0"/>
        <w:w w:val="100"/>
        <w:sz w:val="28"/>
        <w:szCs w:val="28"/>
      </w:rPr>
    </w:pPr>
    <w:r>
      <w:rPr>
        <w:rFonts w:eastAsia="仿宋" w:cs="Times New Roman" w:hint="eastAsia"/>
        <w:b w:val="0"/>
        <w:spacing w:val="0"/>
        <w:w w:val="100"/>
        <w:sz w:val="28"/>
        <w:szCs w:val="28"/>
      </w:rPr>
      <w:t xml:space="preserve">— </w:t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fldChar w:fldCharType="begin"/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instrText>PAGE   \* MERGEFORMAT</w:instrText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fldChar w:fldCharType="separate"/>
    </w:r>
    <w:r>
      <w:rPr>
        <w:rFonts w:eastAsia="仿宋" w:cs="Times New Roman"/>
        <w:b w:val="0"/>
        <w:spacing w:val="0"/>
        <w:w w:val="100"/>
        <w:sz w:val="28"/>
        <w:szCs w:val="28"/>
      </w:rPr>
      <w:t>7</w:t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fldChar w:fldCharType="end"/>
    </w:r>
    <w:r>
      <w:rPr>
        <w:rFonts w:eastAsia="仿宋" w:cs="Times New Roman" w:hint="eastAsia"/>
        <w:b w:val="0"/>
        <w:spacing w:val="0"/>
        <w:w w:val="10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D6F" w:rsidRDefault="00A53D6F">
    <w:pPr>
      <w:pStyle w:val="a3"/>
      <w:ind w:firstLine="3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BEB" w:rsidRDefault="00052BEB">
      <w:pPr>
        <w:spacing w:line="240" w:lineRule="auto"/>
        <w:ind w:firstLine="652"/>
      </w:pPr>
      <w:r>
        <w:separator/>
      </w:r>
    </w:p>
  </w:footnote>
  <w:footnote w:type="continuationSeparator" w:id="0">
    <w:p w:rsidR="00052BEB" w:rsidRDefault="00052BEB">
      <w:pPr>
        <w:spacing w:line="240" w:lineRule="auto"/>
        <w:ind w:firstLine="65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5F2" w:rsidRDefault="006045F2">
    <w:pPr>
      <w:pStyle w:val="a5"/>
      <w:pBdr>
        <w:bottom w:val="none" w:sz="0" w:space="0" w:color="auto"/>
      </w:pBdr>
      <w:ind w:firstLine="3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5F2" w:rsidRDefault="006045F2">
    <w:pPr>
      <w:pStyle w:val="a5"/>
      <w:pBdr>
        <w:bottom w:val="none" w:sz="0" w:space="0" w:color="auto"/>
      </w:pBdr>
      <w:ind w:firstLine="39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D6F" w:rsidRDefault="00A53D6F">
    <w:pPr>
      <w:pStyle w:val="a5"/>
      <w:ind w:firstLine="39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72"/>
  <w:drawingGridVerticalSpacing w:val="2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C9"/>
    <w:rsid w:val="9EEA03CD"/>
    <w:rsid w:val="BD5462D9"/>
    <w:rsid w:val="BE9F207C"/>
    <w:rsid w:val="BFDF48C1"/>
    <w:rsid w:val="DD3FB20A"/>
    <w:rsid w:val="DEB7A71E"/>
    <w:rsid w:val="E4FFF046"/>
    <w:rsid w:val="EFFE8966"/>
    <w:rsid w:val="FE7FCC1A"/>
    <w:rsid w:val="FFFA414C"/>
    <w:rsid w:val="FFFF6730"/>
    <w:rsid w:val="00033EC4"/>
    <w:rsid w:val="000409BD"/>
    <w:rsid w:val="00052BEB"/>
    <w:rsid w:val="00060DC2"/>
    <w:rsid w:val="000C4600"/>
    <w:rsid w:val="000E589E"/>
    <w:rsid w:val="00137571"/>
    <w:rsid w:val="001B3AA6"/>
    <w:rsid w:val="001C5CDF"/>
    <w:rsid w:val="001F0F35"/>
    <w:rsid w:val="00283A7D"/>
    <w:rsid w:val="002E5AFA"/>
    <w:rsid w:val="00324630"/>
    <w:rsid w:val="0037229E"/>
    <w:rsid w:val="00381026"/>
    <w:rsid w:val="003909AB"/>
    <w:rsid w:val="003E38A2"/>
    <w:rsid w:val="003F625B"/>
    <w:rsid w:val="0046247D"/>
    <w:rsid w:val="00467EA8"/>
    <w:rsid w:val="005130C2"/>
    <w:rsid w:val="005309FB"/>
    <w:rsid w:val="005B4A03"/>
    <w:rsid w:val="005F5E2C"/>
    <w:rsid w:val="0060008B"/>
    <w:rsid w:val="006045F2"/>
    <w:rsid w:val="006118CF"/>
    <w:rsid w:val="00696B6D"/>
    <w:rsid w:val="006C6342"/>
    <w:rsid w:val="0070112D"/>
    <w:rsid w:val="00715D03"/>
    <w:rsid w:val="008064A1"/>
    <w:rsid w:val="00813342"/>
    <w:rsid w:val="00815880"/>
    <w:rsid w:val="0082421D"/>
    <w:rsid w:val="00851ECE"/>
    <w:rsid w:val="008A088B"/>
    <w:rsid w:val="008B7538"/>
    <w:rsid w:val="009F5429"/>
    <w:rsid w:val="00A53D6F"/>
    <w:rsid w:val="00AA0C84"/>
    <w:rsid w:val="00AC09E8"/>
    <w:rsid w:val="00B07AC9"/>
    <w:rsid w:val="00B11030"/>
    <w:rsid w:val="00B226DC"/>
    <w:rsid w:val="00B969BB"/>
    <w:rsid w:val="00BE2A8E"/>
    <w:rsid w:val="00C0379F"/>
    <w:rsid w:val="00C516B4"/>
    <w:rsid w:val="00CB380F"/>
    <w:rsid w:val="00D44F73"/>
    <w:rsid w:val="00E365D6"/>
    <w:rsid w:val="00E6171D"/>
    <w:rsid w:val="00ED30CD"/>
    <w:rsid w:val="00F15958"/>
    <w:rsid w:val="00FA7946"/>
    <w:rsid w:val="00FB6D13"/>
    <w:rsid w:val="00FC0B67"/>
    <w:rsid w:val="00FF1BD3"/>
    <w:rsid w:val="0F9DB6C4"/>
    <w:rsid w:val="0FE701FB"/>
    <w:rsid w:val="1CBD4484"/>
    <w:rsid w:val="23DF4C4C"/>
    <w:rsid w:val="3D7CCCE2"/>
    <w:rsid w:val="3DF7260D"/>
    <w:rsid w:val="3DFFA489"/>
    <w:rsid w:val="4E6F1E22"/>
    <w:rsid w:val="5B71F0CD"/>
    <w:rsid w:val="71F8707A"/>
    <w:rsid w:val="7CD944E9"/>
    <w:rsid w:val="7D7F21A9"/>
    <w:rsid w:val="7FDC255E"/>
    <w:rsid w:val="7FF6A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AD5BC"/>
  <w15:docId w15:val="{8AEF3885-01D8-4267-80C5-AECA83D4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90" w:lineRule="exact"/>
      <w:ind w:firstLineChars="200" w:firstLine="200"/>
      <w:jc w:val="both"/>
    </w:pPr>
    <w:rPr>
      <w:rFonts w:ascii="仿宋" w:eastAsia="方正仿宋简体" w:hAnsi="仿宋" w:cstheme="minorBidi"/>
      <w:b/>
      <w:spacing w:val="10"/>
      <w:w w:val="98"/>
      <w:kern w:val="2"/>
      <w:sz w:val="33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Lines="30" w:before="30" w:afterLines="30" w:after="30"/>
      <w:outlineLvl w:val="0"/>
    </w:pPr>
    <w:rPr>
      <w:rFonts w:eastAsia="方正黑体简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outlineLvl w:val="1"/>
    </w:pPr>
    <w:rPr>
      <w:rFonts w:eastAsia="方正楷体简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tLeast"/>
      <w:outlineLvl w:val="2"/>
    </w:pPr>
    <w:rPr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ind w:firstLineChars="0" w:firstLine="0"/>
      <w:jc w:val="center"/>
      <w:outlineLvl w:val="1"/>
    </w:pPr>
    <w:rPr>
      <w:rFonts w:eastAsia="方正楷体简体"/>
      <w:bCs/>
      <w:kern w:val="28"/>
      <w:szCs w:val="32"/>
    </w:rPr>
  </w:style>
  <w:style w:type="paragraph" w:styleId="a9">
    <w:name w:val="Title"/>
    <w:next w:val="a"/>
    <w:link w:val="aa"/>
    <w:uiPriority w:val="10"/>
    <w:qFormat/>
    <w:pPr>
      <w:widowControl w:val="0"/>
      <w:spacing w:beforeLines="460" w:before="460" w:line="700" w:lineRule="exact"/>
      <w:jc w:val="center"/>
      <w:outlineLvl w:val="0"/>
    </w:pPr>
    <w:rPr>
      <w:rFonts w:ascii="方正小标宋简体" w:eastAsia="方正小标宋简体" w:hAnsiTheme="majorHAnsi" w:cstheme="majorBidi"/>
      <w:b/>
      <w:bCs/>
      <w:kern w:val="2"/>
      <w:sz w:val="44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="方正小标宋简体" w:eastAsia="方正小标宋简体" w:hAnsiTheme="majorHAnsi" w:cstheme="majorBidi"/>
      <w:b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方正黑体简体" w:hAnsi="仿宋"/>
      <w:b/>
      <w:bCs/>
      <w:spacing w:val="10"/>
      <w:w w:val="98"/>
      <w:kern w:val="44"/>
      <w:sz w:val="33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仿宋" w:eastAsia="方正楷体简体" w:hAnsi="仿宋" w:cstheme="majorBidi"/>
      <w:b/>
      <w:bCs/>
      <w:spacing w:val="10"/>
      <w:w w:val="98"/>
      <w:sz w:val="33"/>
      <w:szCs w:val="32"/>
    </w:rPr>
  </w:style>
  <w:style w:type="character" w:customStyle="1" w:styleId="a8">
    <w:name w:val="副标题 字符"/>
    <w:basedOn w:val="a0"/>
    <w:link w:val="a7"/>
    <w:uiPriority w:val="11"/>
    <w:qFormat/>
    <w:rPr>
      <w:rFonts w:ascii="仿宋" w:eastAsia="方正楷体简体" w:hAnsi="仿宋"/>
      <w:b/>
      <w:bCs/>
      <w:spacing w:val="10"/>
      <w:w w:val="98"/>
      <w:kern w:val="28"/>
      <w:sz w:val="33"/>
      <w:szCs w:val="32"/>
    </w:rPr>
  </w:style>
  <w:style w:type="paragraph" w:styleId="ab">
    <w:name w:val="No Spacing"/>
    <w:uiPriority w:val="1"/>
    <w:qFormat/>
    <w:pPr>
      <w:widowControl w:val="0"/>
      <w:spacing w:beforeLines="30" w:before="30" w:afterLines="30" w:after="30" w:line="590" w:lineRule="exact"/>
      <w:jc w:val="center"/>
    </w:pPr>
    <w:rPr>
      <w:rFonts w:ascii="仿宋" w:eastAsia="方正黑体简体" w:hAnsi="仿宋" w:cstheme="minorBidi"/>
      <w:b/>
      <w:spacing w:val="10"/>
      <w:w w:val="98"/>
      <w:kern w:val="2"/>
      <w:sz w:val="33"/>
      <w:szCs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仿宋" w:eastAsia="方正仿宋简体" w:hAnsi="仿宋"/>
      <w:b/>
      <w:bCs/>
      <w:spacing w:val="10"/>
      <w:w w:val="98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pacing w:val="10"/>
      <w:w w:val="9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624-1</dc:creator>
  <cp:lastModifiedBy>DELL</cp:lastModifiedBy>
  <cp:revision>3</cp:revision>
  <cp:lastPrinted>2026-06-03T06:23:00Z</cp:lastPrinted>
  <dcterms:created xsi:type="dcterms:W3CDTF">2026-06-03T07:27:00Z</dcterms:created>
  <dcterms:modified xsi:type="dcterms:W3CDTF">2026-06-04T23:33:00Z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A043497B6ACAC97D7BB41E6A96AEAB2F_43</vt:lpwstr>
  </property>
  <property fmtid="{D5CDD505-2E9C-101B-9397-08002B2CF9AE}" pid="4" name="KSOTemplateDocerSaveRecord">
    <vt:lpwstr>eyJoZGlkIjoiNGViNzk2MTk0Mzc2YTViNGJmZjMwYjcyNTkwNTdiZWEiLCJ1c2VySWQiOiI1MDAwMDY3MjcifQ==</vt:lpwstr>
  </property>
</Properties>
</file>